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Lulu</w:t>
      </w:r>
    </w:p>
    <w:p>
      <w:pPr>
        <w:pStyle w:val="Subtitle"/>
      </w:pPr>
      <w:r>
        <w:t>Talking collars, founder NFTs, and on-chain rewards</w:t>
      </w:r>
    </w:p>
    <w:p>
      <w:r/>
      <w:r>
        <w:rPr>
          <w:b/>
        </w:rPr>
        <w:t>White paper · September 2026 · BTT Labs</w:t>
      </w:r>
      <w:r/>
    </w:p>
    <w:p>
      <w:r>
        <w:t>Lulu brings an AI character to a wearable speaker, giving dog owners a new way to talk, play, and create videos. Its founder collection connects that physical experience to transferable product benefits and funded digital assets.</w:t>
      </w:r>
    </w:p>
    <w:p>
      <w:r>
        <w:t xml:space="preserve">The design combines the Lulu collar, the Lulu coin, and a fixed collection of </w:t>
      </w:r>
      <w:r>
        <w:rPr>
          <w:b/>
        </w:rPr>
        <w:t>489 founder NFTs</w:t>
      </w:r>
      <w:r>
        <w:t xml:space="preserve">. Every primary-mint package includes a physical collar. The </w:t>
      </w:r>
      <w:r>
        <w:rPr>
          <w:b/>
        </w:rPr>
        <w:t>69 premium NFTs</w:t>
      </w:r>
      <w:r>
        <w:t xml:space="preserve"> also carry lifetime access to Lulu's best premium collar line.</w:t>
      </w:r>
    </w:p>
    <w:p>
      <w:pPr>
        <w:pStyle w:val="Heading1"/>
      </w:pPr>
      <w:r>
        <w:t>1. The experience</w:t>
      </w:r>
    </w:p>
    <w:p>
      <w:r>
        <w:t>An owner speaks, the character responds, and its voice plays through the wearable speaker. Owners can provide context, perform scripted exchanges, replay a response, and save clips.</w:t>
      </w:r>
    </w:p>
    <w:p>
      <w:r>
        <w:t>The phone-and-Bluetooth speaker architecture uses cloud AI for speech and character responses. Bluetooth routing is controlled by the phone and browser. Hardware features and compatibility depend on the model.</w:t>
      </w:r>
    </w:p>
    <w:p>
      <w:r>
        <w:t>Lulu is an entertainment character. Its responses do not translate an animal's thoughts or provide veterinary assessment.</w:t>
      </w:r>
    </w:p>
    <w:p>
      <w:pPr>
        <w:pStyle w:val="Heading1"/>
      </w:pPr>
      <w:r>
        <w:t>2. The founder collection</w:t>
      </w:r>
    </w:p>
    <w:tbl>
      <w:tblPr>
        <w:tblStyle w:val="LightShading-Accent1"/>
        <w:tblW w:type="auto" w:w="0"/>
        <w:tblLook w:firstColumn="1" w:firstRow="1" w:lastColumn="0" w:lastRow="0" w:noHBand="0" w:noVBand="1" w:val="04A0"/>
      </w:tblPr>
      <w:tblGrid>
        <w:gridCol w:w="3312"/>
        <w:gridCol w:w="3312"/>
        <w:gridCol w:w="3312"/>
      </w:tblGrid>
      <w:tr>
        <w:trPr>
          <w:tblHeader/>
          <w:cantSplit/>
        </w:trPr>
        <w:tc>
          <w:tcPr>
            <w:tcW w:type="dxa" w:w="3312"/>
          </w:tcPr>
          <w:p>
            <w:pPr>
              <w:keepNext/>
            </w:pPr>
            <w:r>
              <w:rPr>
                <w:b/>
              </w:rPr>
              <w:t>Feature</w:t>
            </w:r>
          </w:p>
        </w:tc>
        <w:tc>
          <w:tcPr>
            <w:tcW w:type="dxa" w:w="3312"/>
          </w:tcPr>
          <w:p>
            <w:pPr>
              <w:keepNext/>
            </w:pPr>
            <w:r>
              <w:rPr>
                <w:b/>
              </w:rPr>
              <w:t>Standard</w:t>
            </w:r>
          </w:p>
        </w:tc>
        <w:tc>
          <w:tcPr>
            <w:tcW w:type="dxa" w:w="3312"/>
          </w:tcPr>
          <w:p>
            <w:pPr>
              <w:keepNext/>
            </w:pPr>
            <w:r>
              <w:rPr>
                <w:b/>
              </w:rPr>
              <w:t>Premium</w:t>
            </w:r>
          </w:p>
        </w:tc>
      </w:tr>
      <w:tr>
        <w:trPr>
          <w:cantSplit/>
        </w:trPr>
        <w:tc>
          <w:tcPr>
            <w:tcW w:type="dxa" w:w="3312"/>
          </w:tcPr>
          <w:p>
            <w:pPr>
              <w:keepNext/>
            </w:pPr>
            <w:r>
              <w:t>Maximum supply</w:t>
            </w:r>
          </w:p>
        </w:tc>
        <w:tc>
          <w:tcPr>
            <w:tcW w:type="dxa" w:w="3312"/>
          </w:tcPr>
          <w:p>
            <w:pPr>
              <w:keepNext/>
            </w:pPr>
            <w:r>
              <w:t>420</w:t>
            </w:r>
          </w:p>
        </w:tc>
        <w:tc>
          <w:tcPr>
            <w:tcW w:type="dxa" w:w="3312"/>
          </w:tcPr>
          <w:p>
            <w:pPr>
              <w:keepNext/>
            </w:pPr>
            <w:r>
              <w:t>69</w:t>
            </w:r>
          </w:p>
        </w:tc>
      </w:tr>
      <w:tr>
        <w:trPr>
          <w:cantSplit/>
        </w:trPr>
        <w:tc>
          <w:tcPr>
            <w:tcW w:type="dxa" w:w="3312"/>
          </w:tcPr>
          <w:p>
            <w:pPr>
              <w:keepNext/>
            </w:pPr>
            <w:r>
              <w:t>Token IDs</w:t>
            </w:r>
          </w:p>
        </w:tc>
        <w:tc>
          <w:tcPr>
            <w:tcW w:type="dxa" w:w="3312"/>
          </w:tcPr>
          <w:p>
            <w:pPr>
              <w:keepNext/>
            </w:pPr>
            <w:r>
              <w:t>70–489</w:t>
            </w:r>
          </w:p>
        </w:tc>
        <w:tc>
          <w:tcPr>
            <w:tcW w:type="dxa" w:w="3312"/>
          </w:tcPr>
          <w:p>
            <w:pPr>
              <w:keepNext/>
            </w:pPr>
            <w:r>
              <w:t>1–69</w:t>
            </w:r>
          </w:p>
        </w:tc>
      </w:tr>
      <w:tr>
        <w:trPr>
          <w:cantSplit/>
        </w:trPr>
        <w:tc>
          <w:tcPr>
            <w:tcW w:type="dxa" w:w="3312"/>
          </w:tcPr>
          <w:p>
            <w:pPr>
              <w:keepNext/>
            </w:pPr>
            <w:r>
              <w:t>Reference primary price</w:t>
            </w:r>
          </w:p>
        </w:tc>
        <w:tc>
          <w:tcPr>
            <w:tcW w:type="dxa" w:w="3312"/>
          </w:tcPr>
          <w:p>
            <w:pPr>
              <w:keepNext/>
            </w:pPr>
            <w:r>
              <w:t>$100</w:t>
            </w:r>
          </w:p>
        </w:tc>
        <w:tc>
          <w:tcPr>
            <w:tcW w:type="dxa" w:w="3312"/>
          </w:tcPr>
          <w:p>
            <w:pPr>
              <w:keepNext/>
            </w:pPr>
            <w:r>
              <w:t>$500</w:t>
            </w:r>
          </w:p>
        </w:tc>
      </w:tr>
      <w:tr>
        <w:trPr>
          <w:cantSplit/>
        </w:trPr>
        <w:tc>
          <w:tcPr>
            <w:tcW w:type="dxa" w:w="3312"/>
          </w:tcPr>
          <w:p>
            <w:pPr>
              <w:keepNext/>
            </w:pPr>
            <w:r>
              <w:t>Initial physical collar</w:t>
            </w:r>
          </w:p>
        </w:tc>
        <w:tc>
          <w:tcPr>
            <w:tcW w:type="dxa" w:w="3312"/>
          </w:tcPr>
          <w:p>
            <w:pPr>
              <w:keepNext/>
            </w:pPr>
            <w:r>
              <w:t>Standard collar included</w:t>
            </w:r>
          </w:p>
        </w:tc>
        <w:tc>
          <w:tcPr>
            <w:tcW w:type="dxa" w:w="3312"/>
          </w:tcPr>
          <w:p>
            <w:pPr>
              <w:keepNext/>
            </w:pPr>
            <w:r>
              <w:t>Premium collar included</w:t>
            </w:r>
          </w:p>
        </w:tc>
      </w:tr>
      <w:tr>
        <w:trPr>
          <w:cantSplit/>
        </w:trPr>
        <w:tc>
          <w:tcPr>
            <w:tcW w:type="dxa" w:w="3312"/>
          </w:tcPr>
          <w:p>
            <w:pPr>
              <w:keepNext/>
            </w:pPr>
            <w:r>
              <w:t>Pooled reward weight</w:t>
            </w:r>
          </w:p>
        </w:tc>
        <w:tc>
          <w:tcPr>
            <w:tcW w:type="dxa" w:w="3312"/>
          </w:tcPr>
          <w:p>
            <w:pPr>
              <w:keepNext/>
            </w:pPr>
            <w:r>
              <w:t>1 unit</w:t>
            </w:r>
          </w:p>
        </w:tc>
        <w:tc>
          <w:tcPr>
            <w:tcW w:type="dxa" w:w="3312"/>
          </w:tcPr>
          <w:p>
            <w:pPr>
              <w:keepNext/>
            </w:pPr>
            <w:r>
              <w:t>5 units</w:t>
            </w:r>
          </w:p>
        </w:tc>
      </w:tr>
      <w:tr>
        <w:trPr>
          <w:cantSplit/>
        </w:trPr>
        <w:tc>
          <w:tcPr>
            <w:tcW w:type="dxa" w:w="3312"/>
          </w:tcPr>
          <w:p>
            <w:pPr>
              <w:keepNext/>
            </w:pPr>
            <w:r>
              <w:t>Lifetime premium access</w:t>
            </w:r>
          </w:p>
        </w:tc>
        <w:tc>
          <w:tcPr>
            <w:tcW w:type="dxa" w:w="3312"/>
          </w:tcPr>
          <w:p>
            <w:pPr>
              <w:keepNext/>
            </w:pPr>
            <w:r>
              <w:t>—</w:t>
            </w:r>
          </w:p>
        </w:tc>
        <w:tc>
          <w:tcPr>
            <w:tcW w:type="dxa" w:w="3312"/>
          </w:tcPr>
          <w:p>
            <w:pPr>
              <w:keepNext/>
            </w:pPr>
            <w:r>
              <w:t>Included</w:t>
            </w:r>
          </w:p>
        </w:tc>
      </w:tr>
      <w:tr>
        <w:trPr>
          <w:cantSplit/>
        </w:trPr>
        <w:tc>
          <w:tcPr>
            <w:tcW w:type="dxa" w:w="3312"/>
          </w:tcPr>
          <w:p>
            <w:pPr>
              <w:keepNext w:val="0"/>
            </w:pPr>
            <w:r>
              <w:t>Future premium generations</w:t>
            </w:r>
          </w:p>
        </w:tc>
        <w:tc>
          <w:tcPr>
            <w:tcW w:type="dxa" w:w="3312"/>
          </w:tcPr>
          <w:p>
            <w:pPr>
              <w:keepNext w:val="0"/>
            </w:pPr>
            <w:r>
              <w:t>—</w:t>
            </w:r>
          </w:p>
        </w:tc>
        <w:tc>
          <w:tcPr>
            <w:tcW w:type="dxa" w:w="3312"/>
          </w:tcPr>
          <w:p>
            <w:pPr>
              <w:keepNext w:val="0"/>
            </w:pPr>
            <w:r>
              <w:t>One claim per released generation</w:t>
            </w:r>
          </w:p>
        </w:tc>
      </w:tr>
    </w:tbl>
    <w:p/>
    <w:p>
      <w:r>
        <w:t>The reference prices are planning figures. The applicable mint quote identifies the exact payment token and amount. Payment asset and tier prices are fixed when the mint contract is deployed; the contract does not calculate a live dollar exchange rate.</w:t>
      </w:r>
    </w:p>
    <w:p>
      <w:r>
        <w:t xml:space="preserve">The collection has </w:t>
      </w:r>
      <w:r>
        <w:rPr>
          <w:b/>
        </w:rPr>
        <w:t>765 reward units: 420 × 1 + 69 × 5</w:t>
      </w:r>
      <w:r>
        <w:t>. The NFT cap does not limit future physical-collar production.</w:t>
      </w:r>
    </w:p>
    <w:p>
      <w:r>
        <w:t>Each NFT identifies its tier, remaining collar claims, allocated assets, and any premium eligibility. Those benefits have separate rules. A collar claim can be consumed while continuing premium access remains in place.</w:t>
      </w:r>
    </w:p>
    <w:p>
      <w:r>
        <w:t>NFT ownership does not automatically provide company shares, voting rights, or copyright ownership.</w:t>
      </w:r>
    </w:p>
    <w:p>
      <w:pPr>
        <w:pStyle w:val="Heading1"/>
      </w:pPr>
      <w:r>
        <w:t>3. Premium access for life</w:t>
      </w:r>
    </w:p>
    <w:p>
      <w:r/>
      <w:r>
        <w:rPr>
          <w:b/>
        </w:rPr>
        <w:t>Premium NFTs carry lifetime access to Lulu's best premium collar line, with no expiration in the eligibility record.</w:t>
      </w:r>
      <w:r/>
    </w:p>
    <w:p>
      <w:r>
        <w:t>Eligibility follows the current owner. Future premium hardware is tracked by generation, with one claim for each premium NFT per released generation. Initial collars and later generations have separate records.</w:t>
      </w:r>
    </w:p>
    <w:p>
      <w:r>
        <w:t>A requested or fulfilled claim does not reset after resale. A delivered collar remains a physical possession and is not automatically transferred with the NFT.</w:t>
      </w:r>
    </w:p>
    <w:p>
      <w:r>
        <w:t>BTT Labs is responsible for the product and service behind the entitlement. Generation-specific terms describe the model, delivery, warranty, replacement arrangements, and included software usage. Lifetime eligibility does not by itself specify unlimited replacements, devices, or third-party AI consumption.</w:t>
      </w:r>
    </w:p>
    <w:p>
      <w:pPr>
        <w:pStyle w:val="Heading1"/>
      </w:pPr>
      <w:r>
        <w:t>4. The coin and asset funding</w:t>
      </w:r>
    </w:p>
    <w:p>
      <w:r>
        <w:t xml:space="preserve">The launch sequence is </w:t>
      </w:r>
      <w:r>
        <w:rPr>
          <w:b/>
        </w:rPr>
        <w:t>coin first, NFTs second</w:t>
      </w:r>
      <w:r>
        <w:t>, on Robinhood Chain. Before minting can open, the NFT administrator records an existing coin contract with positive supply and a launch reference. That activation record does not independently establish liquidity or exchange availability.</w:t>
      </w:r>
    </w:p>
    <w:p>
      <w:r>
        <w:t>Coin supply and distribution are distinct from the fixed NFT cap. This collection's size does not imply a particular coin supply.</w:t>
      </w:r>
    </w:p>
    <w:p>
      <w:r>
        <w:t xml:space="preserve">NFT balances can receive </w:t>
      </w:r>
      <w:r>
        <w:rPr>
          <w:b/>
        </w:rPr>
        <w:t>initial allocations</w:t>
      </w:r>
      <w:r>
        <w:t xml:space="preserve"> supplied from project reserves and </w:t>
      </w:r>
      <w:r>
        <w:rPr>
          <w:b/>
        </w:rPr>
        <w:t>continuing rewards</w:t>
      </w:r>
      <w:r>
        <w:t xml:space="preserve"> funded from received project fees. The vault accounts for these contributions separately. Both require actual tokens to reach the vault. Each reward vault holds one configured asset. Owners do not deposit their own funds or tokens into the NFT or reward system.</w:t>
      </w:r>
    </w:p>
    <w:p>
      <w:pPr>
        <w:pStyle w:val="Heading2"/>
      </w:pPr>
      <w:r>
        <w:t>Stock-linked assets</w:t>
      </w:r>
    </w:p>
    <w:p>
      <w:r>
        <w:t>The design includes the objective of supporting eligible stock-token assets in the trading and NFT-asset system. Trading a coin against a stock token, holding stock-token assets through an NFT, and owning company shares are different arrangements.</w:t>
      </w:r>
    </w:p>
    <w:p>
      <w:r>
        <w:t xml:space="preserve">Robinhood describes its Stock Tokens as tokenized debt securities providing economic exposure without underlying share-ownership rights. Its documentation prohibits offers, sales, and delivery to U.S. persons and identifies other jurisdictional restrictions. </w:t>
      </w:r>
      <w:hyperlink r:id="rId11">
        <w:r>
          <w:rPr>
            <w:color w:val="176B79"/>
          </w:rPr>
          <w:t>Robinhood Stock Tokens</w:t>
        </w:r>
      </w:hyperlink>
      <w:r/>
    </w:p>
    <w:p>
      <w:r>
        <w:t>An integrated asset's issuer, backing, transfer conditions, corporate actions, and redemption terms determine the holder's rights. Stock-linked exposure is not an automatic benefit of every Lulu NFT: the relevant supported assets must actually be funded.</w:t>
      </w:r>
    </w:p>
    <w:p>
      <w:pPr>
        <w:pStyle w:val="Heading1"/>
      </w:pPr>
      <w:r>
        <w:t>5. Where received fees go</w:t>
      </w:r>
    </w:p>
    <w:tbl>
      <w:tblPr>
        <w:tblStyle w:val="LightShading-Accent1"/>
        <w:tblW w:type="auto" w:w="0"/>
        <w:tblLook w:firstColumn="1" w:firstRow="1" w:lastColumn="0" w:lastRow="0" w:noHBand="0" w:noVBand="1" w:val="04A0"/>
      </w:tblPr>
      <w:tblGrid>
        <w:gridCol w:w="3312"/>
        <w:gridCol w:w="3312"/>
        <w:gridCol w:w="3312"/>
      </w:tblGrid>
      <w:tr>
        <w:trPr>
          <w:tblHeader/>
          <w:cantSplit/>
        </w:trPr>
        <w:tc>
          <w:tcPr>
            <w:tcW w:type="dxa" w:w="3312"/>
          </w:tcPr>
          <w:p>
            <w:pPr>
              <w:keepNext/>
            </w:pPr>
            <w:r>
              <w:rPr>
                <w:b/>
              </w:rPr>
              <w:t>Recipient</w:t>
            </w:r>
          </w:p>
        </w:tc>
        <w:tc>
          <w:tcPr>
            <w:tcW w:type="dxa" w:w="3312"/>
          </w:tcPr>
          <w:p>
            <w:pPr>
              <w:keepNext/>
            </w:pPr>
            <w:r>
              <w:rPr>
                <w:b/>
              </w:rPr>
              <w:t>Share</w:t>
            </w:r>
          </w:p>
        </w:tc>
        <w:tc>
          <w:tcPr>
            <w:tcW w:type="dxa" w:w="3312"/>
          </w:tcPr>
          <w:p>
            <w:pPr>
              <w:keepNext/>
            </w:pPr>
            <w:r>
              <w:rPr>
                <w:b/>
              </w:rPr>
              <w:t>Purpose</w:t>
            </w:r>
          </w:p>
        </w:tc>
      </w:tr>
      <w:tr>
        <w:trPr>
          <w:cantSplit/>
        </w:trPr>
        <w:tc>
          <w:tcPr>
            <w:tcW w:type="dxa" w:w="3312"/>
          </w:tcPr>
          <w:p>
            <w:pPr>
              <w:keepNext/>
            </w:pPr>
            <w:r>
              <w:t>Company</w:t>
            </w:r>
          </w:p>
        </w:tc>
        <w:tc>
          <w:tcPr>
            <w:tcW w:type="dxa" w:w="3312"/>
          </w:tcPr>
          <w:p>
            <w:pPr>
              <w:keepNext/>
            </w:pPr>
            <w:r>
              <w:t>60%</w:t>
            </w:r>
          </w:p>
        </w:tc>
        <w:tc>
          <w:tcPr>
            <w:tcW w:type="dxa" w:w="3312"/>
          </w:tcPr>
          <w:p>
            <w:pPr>
              <w:keepNext/>
            </w:pPr>
            <w:r>
              <w:t>Operations and development</w:t>
            </w:r>
          </w:p>
        </w:tc>
      </w:tr>
      <w:tr>
        <w:trPr>
          <w:cantSplit/>
        </w:trPr>
        <w:tc>
          <w:tcPr>
            <w:tcW w:type="dxa" w:w="3312"/>
          </w:tcPr>
          <w:p>
            <w:pPr>
              <w:keepNext/>
            </w:pPr>
            <w:r>
              <w:t>Founder</w:t>
            </w:r>
          </w:p>
        </w:tc>
        <w:tc>
          <w:tcPr>
            <w:tcW w:type="dxa" w:w="3312"/>
          </w:tcPr>
          <w:p>
            <w:pPr>
              <w:keepNext/>
            </w:pPr>
            <w:r>
              <w:t>10%</w:t>
            </w:r>
          </w:p>
        </w:tc>
        <w:tc>
          <w:tcPr>
            <w:tcW w:type="dxa" w:w="3312"/>
          </w:tcPr>
          <w:p>
            <w:pPr>
              <w:keepNext/>
            </w:pPr>
            <w:r>
              <w:t>Founder compensation</w:t>
            </w:r>
          </w:p>
        </w:tc>
      </w:tr>
      <w:tr>
        <w:trPr>
          <w:cantSplit/>
        </w:trPr>
        <w:tc>
          <w:tcPr>
            <w:tcW w:type="dxa" w:w="3312"/>
          </w:tcPr>
          <w:p>
            <w:pPr>
              <w:keepNext w:val="0"/>
            </w:pPr>
            <w:r>
              <w:t>NFT reward funding</w:t>
            </w:r>
          </w:p>
        </w:tc>
        <w:tc>
          <w:tcPr>
            <w:tcW w:type="dxa" w:w="3312"/>
          </w:tcPr>
          <w:p>
            <w:pPr>
              <w:keepNext w:val="0"/>
            </w:pPr>
            <w:r>
              <w:t>30%</w:t>
            </w:r>
          </w:p>
        </w:tc>
        <w:tc>
          <w:tcPr>
            <w:tcW w:type="dxa" w:w="3312"/>
          </w:tcPr>
          <w:p>
            <w:pPr>
              <w:keepNext w:val="0"/>
            </w:pPr>
            <w:r>
              <w:t>Assets allocated to founder NFTs</w:t>
            </w:r>
          </w:p>
        </w:tc>
      </w:tr>
    </w:tbl>
    <w:p/>
    <w:p>
      <w:r>
        <w:t>A receipt of 1,000 fee units produces 600 company units, 100 founder units, and 300 NFT-funding units.</w:t>
      </w:r>
    </w:p>
    <w:p>
      <w:r>
        <w:t>This allocation applies to project fees actually received. It is not a percentage of trading volume or all company revenue. Without receipts, there are no fee-funded rewards.</w:t>
      </w:r>
    </w:p>
    <w:p>
      <w:r>
        <w:t>Unpaid company and founder amounts remain separately reserved. Cumulative accounting conserves indivisible units; splitting a fee payment into smaller receipts does not change its cumulative allocation.</w:t>
      </w:r>
    </w:p>
    <w:p>
      <w:r>
        <w:t>Primary NFT-sale proceeds are separate from the fee split. Initial allocations supplied by the project are also distinct from commercial trading revenue.</w:t>
      </w:r>
    </w:p>
    <w:p>
      <w:pPr>
        <w:pStyle w:val="Heading1"/>
      </w:pPr>
      <w:r>
        <w:t>6. Allocation, maturity, and withdrawal</w:t>
      </w:r>
    </w:p>
    <w:p>
      <w:r>
        <w:t xml:space="preserve">The pool allocates </w:t>
      </w:r>
      <w:r>
        <w:rPr>
          <w:b/>
        </w:rPr>
        <w:t>1/765 to each standard identity</w:t>
      </w:r>
      <w:r>
        <w:t xml:space="preserve"> and </w:t>
      </w:r>
      <w:r>
        <w:rPr>
          <w:b/>
        </w:rPr>
        <w:t>5/765 to each premium identity</w:t>
      </w:r>
      <w:r>
        <w:t>. A contribution of exactly 765 tokens allocates one token per standard identity and five per premium identity. Integer rounding remains within the vault's cumulative accounting.</w:t>
      </w:r>
    </w:p>
    <w:p>
      <w:r>
        <w:t>All 489 identities participate, including identities not yet minted. Their shares remain reserved and become available to their owners after minting and maturity. The vault has no founder sweep function. An identity that is never minted can retain an inaccessible allocation.</w:t>
      </w:r>
    </w:p>
    <w:p>
      <w:r>
        <w:t xml:space="preserve">Each contribution matures </w:t>
      </w:r>
      <w:r>
        <w:rPr>
          <w:b/>
        </w:rPr>
        <w:t>90 days after entering the reward vault</w:t>
      </w:r>
      <w:r>
        <w:t>. Later contributions do not reset earlier locks. A day-0 contribution matures on day 90; one received on day 30 matures on day 120.</w:t>
      </w:r>
    </w:p>
    <w:p>
      <w:r>
        <w:t>The current owner can withdraw matured, unclaimed assets without burning the NFT. Withdrawn amounts remain accounted for and cannot be claimed again after resale. Remaining locked and unclaimed assets follow ownership.</w:t>
      </w:r>
    </w:p>
    <w:p>
      <w:pPr>
        <w:pStyle w:val="Heading2"/>
      </w:pPr>
      <w:r>
        <w:t>Conversion</w:t>
      </w:r>
    </w:p>
    <w:p>
      <w:r>
        <w:t>If the received fee asset differs from the reward asset, the NFT portion passes through a configured conversion queue. An operator supplies a minimum output and deadline. Only output actually received by the vault is credited.</w:t>
      </w:r>
    </w:p>
    <w:p>
      <w:r>
        <w:t>A reverted conversion leaves the queued balance reserved. The 90-day maturity starts when converted assets reach the vault. Inventory, execution, and operator availability can delay conversion. A minimum-output check does not guarantee a market price.</w:t>
      </w:r>
    </w:p>
    <w:p>
      <w:pPr>
        <w:pStyle w:val="Heading1"/>
      </w:pPr>
      <w:r>
        <w:t>7. Physical claims and resale</w:t>
      </w:r>
    </w:p>
    <w:tbl>
      <w:tblPr>
        <w:tblStyle w:val="LightShading-Accent1"/>
        <w:tblW w:type="auto" w:w="0"/>
        <w:tblLook w:firstColumn="1" w:firstRow="1" w:lastColumn="0" w:lastRow="0" w:noHBand="0" w:noVBand="1" w:val="04A0"/>
      </w:tblPr>
      <w:tblGrid>
        <w:gridCol w:w="4968"/>
        <w:gridCol w:w="4968"/>
      </w:tblGrid>
      <w:tr>
        <w:trPr>
          <w:tblHeader/>
          <w:cantSplit/>
        </w:trPr>
        <w:tc>
          <w:tcPr>
            <w:tcW w:type="dxa" w:w="4968"/>
          </w:tcPr>
          <w:p>
            <w:pPr>
              <w:keepNext/>
            </w:pPr>
            <w:r>
              <w:rPr>
                <w:b/>
              </w:rPr>
              <w:t>Collar state</w:t>
            </w:r>
          </w:p>
        </w:tc>
        <w:tc>
          <w:tcPr>
            <w:tcW w:type="dxa" w:w="4968"/>
          </w:tcPr>
          <w:p>
            <w:pPr>
              <w:keepNext/>
            </w:pPr>
            <w:r>
              <w:rPr>
                <w:b/>
              </w:rPr>
              <w:t>Effect of a transfer</w:t>
            </w:r>
          </w:p>
        </w:tc>
      </w:tr>
      <w:tr>
        <w:trPr>
          <w:cantSplit/>
        </w:trPr>
        <w:tc>
          <w:tcPr>
            <w:tcW w:type="dxa" w:w="4968"/>
          </w:tcPr>
          <w:p>
            <w:pPr>
              <w:keepNext/>
            </w:pPr>
            <w:r>
              <w:t>Unclaimed</w:t>
            </w:r>
          </w:p>
        </w:tc>
        <w:tc>
          <w:tcPr>
            <w:tcW w:type="dxa" w:w="4968"/>
          </w:tcPr>
          <w:p>
            <w:pPr>
              <w:keepNext/>
            </w:pPr>
            <w:r>
              <w:t>The new owner may request it</w:t>
            </w:r>
          </w:p>
        </w:tc>
      </w:tr>
      <w:tr>
        <w:trPr>
          <w:cantSplit/>
        </w:trPr>
        <w:tc>
          <w:tcPr>
            <w:tcW w:type="dxa" w:w="4968"/>
          </w:tcPr>
          <w:p>
            <w:pPr>
              <w:keepNext/>
            </w:pPr>
            <w:r>
              <w:t>Requested</w:t>
            </w:r>
          </w:p>
        </w:tc>
        <w:tc>
          <w:tcPr>
            <w:tcW w:type="dxa" w:w="4968"/>
          </w:tcPr>
          <w:p>
            <w:pPr>
              <w:keepNext/>
            </w:pPr>
            <w:r>
              <w:t>The recorded claimant keeps the pending shipment</w:t>
            </w:r>
          </w:p>
        </w:tc>
      </w:tr>
      <w:tr>
        <w:trPr>
          <w:cantSplit/>
        </w:trPr>
        <w:tc>
          <w:tcPr>
            <w:tcW w:type="dxa" w:w="4968"/>
          </w:tcPr>
          <w:p>
            <w:pPr>
              <w:keepNext w:val="0"/>
            </w:pPr>
            <w:r>
              <w:t>Fulfilled</w:t>
            </w:r>
          </w:p>
        </w:tc>
        <w:tc>
          <w:tcPr>
            <w:tcW w:type="dxa" w:w="4968"/>
          </w:tcPr>
          <w:p>
            <w:pPr>
              <w:keepNext w:val="0"/>
            </w:pPr>
            <w:r>
              <w:t>The claim remains consumed</w:t>
            </w:r>
          </w:p>
        </w:tc>
      </w:tr>
    </w:tbl>
    <w:p/>
    <w:p>
      <w:r>
        <w:t>These rules apply separately to the initial collar and each premium generation. A secondary buyer receives the benefits that remain, rather than another copy of previously consumed claims.</w:t>
      </w:r>
    </w:p>
    <w:p>
      <w:r>
        <w:t>Shipping information is handled privately. An on-chain fulfillment record records an operator's action; it is not independent proof that a package arrived.</w:t>
      </w:r>
    </w:p>
    <w:p>
      <w:pPr>
        <w:pStyle w:val="Heading2"/>
      </w:pPr>
      <w:r>
        <w:t>Protected purchases</w:t>
      </w:r>
    </w:p>
    <w:p>
      <w:r>
        <w:t>Lulu's Seaport integration checks specified project-funded reward balances and collar-claim state before and after a protected transfer. Withdrawing quoted rewards or changing claim state can invalidate an outdated order. Additional rewards do not invalidate an otherwise valid quote.</w:t>
      </w:r>
    </w:p>
    <w:p>
      <w:r>
        <w:t>Protection applies only to the configured reward vault and fulfillment contract when the purchase uses the Lulu checks. Ordinary unrestricted listings do not receive it automatically. These checks protect the quoted contents, not market value or physical delivery.</w:t>
      </w:r>
    </w:p>
    <w:p>
      <w:pPr>
        <w:pStyle w:val="Heading1"/>
      </w:pPr>
      <w:r>
        <w:t>8. Responsibilities and controls</w:t>
      </w:r>
    </w:p>
    <w:p>
      <w:r>
        <w:t>The NFT contract handles ownership, tier caps, payment, and coin activation. Separate components handle fulfillment, project-funded rewards, fee routing, conversion, and protected purchases.</w:t>
      </w:r>
    </w:p>
    <w:p>
      <w:r>
        <w:t>Operational authority remains explicit. The NFT administrator controls mint availability; the fulfillment administrator appoints the fulfillment operator and releases premium generations; the conversion operator initiates exchanges.</w:t>
      </w:r>
    </w:p>
    <w:p>
      <w:r>
        <w:t>The reward vault has no administrator withdrawal or upgrade function. That property does not remove the operating roles elsewhere in the system.</w:t>
      </w:r>
    </w:p>
    <w:p>
      <w:pPr>
        <w:pStyle w:val="Heading1"/>
      </w:pPr>
      <w:r>
        <w:t>9. Product economics</w:t>
      </w:r>
    </w:p>
    <w:p>
      <w:r>
        <w:t xml:space="preserve">At the reference prices, a full founder sellout would generate </w:t>
      </w:r>
      <w:r>
        <w:rPr>
          <w:b/>
        </w:rPr>
        <w:t>$76,500 gross</w:t>
      </w:r>
      <w:r>
        <w:t>:</w:t>
      </w:r>
    </w:p>
    <w:p>
      <w:r/>
      <w:r>
        <w:rPr>
          <w:b/>
        </w:rPr>
        <w:t>420 × $100 + 69 × $500 = $76,500.</w:t>
      </w:r>
      <w:r/>
    </w:p>
    <w:p>
      <w:r>
        <w:t>This is a scenario calculation, not a sales forecast or profit estimate. It also creates up to 489 initial-collar delivery obligations and continuing premium commitments.</w:t>
      </w:r>
    </w:p>
    <w:p>
      <w:r>
        <w:t>Costs include parts, assembly, testing, packaging, shipping, support, failures, and included software usage. Each later premium generation can create up to 69 additional claims.</w:t>
      </w:r>
    </w:p>
    <w:p>
      <w:r>
        <w:t>Primary-sale proceeds and the company's share of received fees support the business. Holder assets reserved in the vault are not available operating funds.</w:t>
      </w:r>
    </w:p>
    <w:p>
      <w:pPr>
        <w:pStyle w:val="Heading1"/>
      </w:pPr>
      <w:r>
        <w:t>10. Evidence and risk</w:t>
      </w:r>
    </w:p>
    <w:p>
      <w:r>
        <w:t xml:space="preserve">The September 27, 2026 testnet rehearsal records 53 successful transactions and 28 passing checks. The </w:t>
      </w:r>
      <w:hyperlink r:id="rId12">
        <w:r>
          <w:rPr>
            <w:color w:val="176B79"/>
          </w:rPr>
          <w:t>public evidence page</w:t>
        </w:r>
      </w:hyperlink>
      <w:r>
        <w:t xml:space="preserve"> links to the receipts and explains their scope.</w:t>
      </w:r>
    </w:p>
    <w:p>
      <w:r>
        <w:t>The rehearsal includes a protected NFT purchase and test-payment transfer. It used test assets and test fulfillment records. Matured reward claims were tested locally; the public rehearsal retained the 90-day locks.</w:t>
      </w:r>
    </w:p>
    <w:p>
      <w:r>
        <w:t>Manufacturing, service availability, operating funding, asset issuers, conversion, liquidity, wallets, and smart-contract behavior can affect the customer experience. Reward quantities depend on actual funding, and token values can change. A maturity date does not guarantee market value or a buyer.</w:t>
      </w:r>
    </w:p>
    <w:p>
      <w:r>
        <w:t>BTT Labs remains responsible for its physical-product and service commitments. The collection records a defined set of benefits: an included collar, permanent premium eligibility for 69 NFTs, and funded allocations across all 489 identities.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BTT Labs · Lulu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LULU  /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Calibri" w:hAnsi="Calibri"/>
      <w:b/>
      <w:bCs/>
      <w:color w:val="163C45"/>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63C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63C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3C45"/>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cs.robinhood.com/chain/stock-tokens/" TargetMode="External"/><Relationship Id="rId12" Type="http://schemas.openxmlformats.org/officeDocument/2006/relationships/hyperlink" Target="evid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Lulu</dc:title>
  <dc:subject>Lulu</dc:subject>
  <dc:creator>Lulu</dc:creator>
  <cp:keywords/>
  <dc:description>generated by python-docx</dc:description>
  <cp:lastModifiedBy/>
  <cp:revision>1</cp:revision>
  <dcterms:created xsi:type="dcterms:W3CDTF">2013-12-23T23:15:00Z</dcterms:created>
  <dcterms:modified xsi:type="dcterms:W3CDTF">2013-12-23T23:15:00Z</dcterms:modified>
  <cp:category/>
  <cp:version>0.2</cp:version>
</cp:coreProperties>
</file>